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87" w:rsidRPr="00DC4BDB" w:rsidRDefault="008E7826" w:rsidP="00B5511B">
      <w:pPr>
        <w:pStyle w:val="DocumentName"/>
        <w:rPr>
          <w:sz w:val="32"/>
          <w:szCs w:val="32"/>
          <w:lang w:val="en-US"/>
        </w:rPr>
      </w:pPr>
      <w:r w:rsidRPr="00DC4BDB">
        <w:rPr>
          <w:sz w:val="32"/>
          <w:szCs w:val="32"/>
          <w:lang w:val="en-US"/>
        </w:rPr>
        <w:t>New</w:t>
      </w:r>
      <w:r w:rsidR="00F809DF" w:rsidRPr="00DC4BDB">
        <w:rPr>
          <w:sz w:val="32"/>
          <w:szCs w:val="32"/>
          <w:lang w:val="en-US"/>
        </w:rPr>
        <w:t xml:space="preserve"> academic center </w:t>
      </w:r>
      <w:r w:rsidR="00FB5E3B" w:rsidRPr="00DC4BDB">
        <w:rPr>
          <w:sz w:val="32"/>
          <w:szCs w:val="32"/>
          <w:lang w:val="en-US"/>
        </w:rPr>
        <w:t>in Brisbane, Australia</w:t>
      </w:r>
      <w:r w:rsidR="00960C5D" w:rsidRPr="00DC4BDB">
        <w:rPr>
          <w:sz w:val="32"/>
          <w:szCs w:val="32"/>
          <w:lang w:val="en-US"/>
        </w:rPr>
        <w:t>,</w:t>
      </w:r>
      <w:r w:rsidR="00FB5E3B" w:rsidRPr="00DC4BDB">
        <w:rPr>
          <w:sz w:val="32"/>
          <w:szCs w:val="32"/>
          <w:lang w:val="en-US"/>
        </w:rPr>
        <w:t xml:space="preserve"> </w:t>
      </w:r>
      <w:r w:rsidR="00F809DF" w:rsidRPr="00DC4BDB">
        <w:rPr>
          <w:sz w:val="32"/>
          <w:szCs w:val="32"/>
          <w:lang w:val="en-US"/>
        </w:rPr>
        <w:t>drives campus life and learning through green design</w:t>
      </w:r>
    </w:p>
    <w:p w:rsidR="00B5511B" w:rsidRPr="00DC4BDB" w:rsidRDefault="008E7826" w:rsidP="00B5511B">
      <w:pPr>
        <w:pStyle w:val="DocumentName"/>
        <w:rPr>
          <w:sz w:val="22"/>
          <w:szCs w:val="22"/>
          <w:lang w:val="en-US"/>
        </w:rPr>
      </w:pPr>
      <w:r w:rsidRPr="00DC4BDB">
        <w:rPr>
          <w:sz w:val="22"/>
          <w:szCs w:val="22"/>
          <w:lang w:val="en-US"/>
        </w:rPr>
        <w:t>Henning Larsen’s work on the</w:t>
      </w:r>
      <w:r w:rsidR="00FB5E3B" w:rsidRPr="00DC4BDB">
        <w:rPr>
          <w:sz w:val="22"/>
          <w:szCs w:val="22"/>
          <w:lang w:val="en-US"/>
        </w:rPr>
        <w:t xml:space="preserve"> </w:t>
      </w:r>
      <w:r w:rsidR="006F6626" w:rsidRPr="00DC4BDB">
        <w:rPr>
          <w:sz w:val="22"/>
          <w:szCs w:val="22"/>
          <w:lang w:val="en-US"/>
        </w:rPr>
        <w:t>Peter Coaldrake Education Precinct</w:t>
      </w:r>
      <w:r w:rsidR="00736160" w:rsidRPr="00DC4BDB">
        <w:rPr>
          <w:sz w:val="22"/>
          <w:szCs w:val="22"/>
          <w:lang w:val="en-US"/>
        </w:rPr>
        <w:t xml:space="preserve"> for</w:t>
      </w:r>
      <w:r w:rsidR="00F809DF" w:rsidRPr="00DC4BDB">
        <w:rPr>
          <w:sz w:val="22"/>
          <w:szCs w:val="22"/>
          <w:lang w:val="en-US"/>
        </w:rPr>
        <w:t xml:space="preserve"> Queensland University of Technology</w:t>
      </w:r>
      <w:r w:rsidR="00736160" w:rsidRPr="00DC4BDB">
        <w:rPr>
          <w:sz w:val="22"/>
          <w:szCs w:val="22"/>
          <w:lang w:val="en-US"/>
        </w:rPr>
        <w:t xml:space="preserve"> embodies a commitment to smart technology, social learning and sustainable growth</w:t>
      </w:r>
    </w:p>
    <w:p w:rsidR="00736160" w:rsidRPr="00DC4BDB" w:rsidRDefault="00736160" w:rsidP="00B5511B">
      <w:pPr>
        <w:pStyle w:val="DocumentName"/>
        <w:rPr>
          <w:lang w:val="en-US"/>
        </w:rPr>
      </w:pPr>
    </w:p>
    <w:p w:rsidR="00B5511B" w:rsidRPr="00DC4BDB" w:rsidRDefault="000310FC" w:rsidP="00B5511B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t>On Australia’s sunny eastern coast, a new model of social, sustainable learning has taken shape.</w:t>
      </w:r>
      <w:r w:rsidR="00FB5E3B" w:rsidRPr="00DC4BDB">
        <w:rPr>
          <w:rFonts w:ascii="Cambria" w:hAnsi="Cambria"/>
          <w:szCs w:val="24"/>
          <w:lang w:val="en-US"/>
        </w:rPr>
        <w:t xml:space="preserve"> </w:t>
      </w:r>
      <w:r w:rsidRPr="00DC4BDB">
        <w:rPr>
          <w:rFonts w:ascii="Cambria" w:hAnsi="Cambria"/>
          <w:szCs w:val="24"/>
          <w:lang w:val="en-US"/>
        </w:rPr>
        <w:t xml:space="preserve">The Peter Coaldrake Education Precinct, designed for the Queensland University of Technology by Henning Larsen and Wilson Architects, </w:t>
      </w:r>
      <w:r w:rsidR="00424CC2" w:rsidRPr="00DC4BDB">
        <w:rPr>
          <w:rFonts w:ascii="Cambria" w:hAnsi="Cambria"/>
          <w:szCs w:val="24"/>
          <w:lang w:val="en-US"/>
        </w:rPr>
        <w:t>draws from surrounding campus activity to breathe new life into traditional academic models.</w:t>
      </w:r>
    </w:p>
    <w:p w:rsidR="00B5511B" w:rsidRPr="00DC4BDB" w:rsidRDefault="00B5511B" w:rsidP="00B5511B">
      <w:pPr>
        <w:pStyle w:val="DocumentName"/>
        <w:rPr>
          <w:rFonts w:ascii="Cambria" w:hAnsi="Cambria"/>
          <w:szCs w:val="24"/>
          <w:lang w:val="en-US"/>
        </w:rPr>
      </w:pPr>
    </w:p>
    <w:p w:rsidR="00B5511B" w:rsidRPr="00DC4BDB" w:rsidRDefault="00B5511B" w:rsidP="00B5511B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t>The six-level, 11,000 m</w:t>
      </w:r>
      <w:r w:rsidRPr="00DC4BDB">
        <w:rPr>
          <w:rFonts w:ascii="Cambria" w:hAnsi="Cambria"/>
          <w:szCs w:val="24"/>
          <w:vertAlign w:val="superscript"/>
          <w:lang w:val="en-US"/>
        </w:rPr>
        <w:t>2</w:t>
      </w:r>
      <w:r w:rsidRPr="00DC4BDB">
        <w:rPr>
          <w:rFonts w:ascii="Cambria" w:hAnsi="Cambria"/>
          <w:szCs w:val="24"/>
          <w:lang w:val="en-US"/>
        </w:rPr>
        <w:t xml:space="preserve"> </w:t>
      </w:r>
      <w:r w:rsidR="00DE2E71" w:rsidRPr="00DC4BDB">
        <w:rPr>
          <w:rFonts w:ascii="Cambria" w:hAnsi="Cambria"/>
          <w:szCs w:val="24"/>
          <w:lang w:val="en-US"/>
        </w:rPr>
        <w:t xml:space="preserve">building layers classroom, research and office facilities atop an airy ground-level atrium, </w:t>
      </w:r>
      <w:r w:rsidR="00FB5E3B" w:rsidRPr="00DC4BDB">
        <w:rPr>
          <w:rFonts w:ascii="Cambria" w:hAnsi="Cambria"/>
          <w:szCs w:val="24"/>
          <w:lang w:val="en-US"/>
        </w:rPr>
        <w:t>framing</w:t>
      </w:r>
      <w:r w:rsidR="00DE2E71" w:rsidRPr="00DC4BDB">
        <w:rPr>
          <w:rFonts w:ascii="Cambria" w:hAnsi="Cambria"/>
          <w:szCs w:val="24"/>
          <w:lang w:val="en-US"/>
        </w:rPr>
        <w:t xml:space="preserve"> upper academic spaces </w:t>
      </w:r>
      <w:r w:rsidR="00A5467E" w:rsidRPr="00DC4BDB">
        <w:rPr>
          <w:rFonts w:ascii="Cambria" w:hAnsi="Cambria"/>
          <w:szCs w:val="24"/>
          <w:lang w:val="en-US"/>
        </w:rPr>
        <w:t>around a</w:t>
      </w:r>
      <w:r w:rsidR="00FB5E3B" w:rsidRPr="00DC4BDB">
        <w:rPr>
          <w:rFonts w:ascii="Cambria" w:hAnsi="Cambria"/>
          <w:szCs w:val="24"/>
          <w:lang w:val="en-US"/>
        </w:rPr>
        <w:t>n active social foundation</w:t>
      </w:r>
      <w:r w:rsidR="00DE2E71" w:rsidRPr="00DC4BDB">
        <w:rPr>
          <w:rFonts w:ascii="Cambria" w:hAnsi="Cambria"/>
          <w:szCs w:val="24"/>
          <w:lang w:val="en-US"/>
        </w:rPr>
        <w:t>. Positione</w:t>
      </w:r>
      <w:r w:rsidR="004D5E98" w:rsidRPr="00DC4BDB">
        <w:rPr>
          <w:rFonts w:ascii="Cambria" w:hAnsi="Cambria"/>
          <w:szCs w:val="24"/>
          <w:lang w:val="en-US"/>
        </w:rPr>
        <w:t>d between the university library and a main thoroughfare in QUT’s Kelvin Grove Campus, the Faculty of Education building extends its atrium to campus traffic, drawing new visitors and encouragin</w:t>
      </w:r>
      <w:bookmarkStart w:id="0" w:name="_GoBack"/>
      <w:bookmarkEnd w:id="0"/>
      <w:r w:rsidR="004D5E98" w:rsidRPr="00DC4BDB">
        <w:rPr>
          <w:rFonts w:ascii="Cambria" w:hAnsi="Cambria"/>
          <w:szCs w:val="24"/>
          <w:lang w:val="en-US"/>
        </w:rPr>
        <w:t xml:space="preserve">g </w:t>
      </w:r>
      <w:r w:rsidR="00FB5E3B" w:rsidRPr="00DC4BDB">
        <w:rPr>
          <w:rFonts w:ascii="Cambria" w:hAnsi="Cambria"/>
          <w:szCs w:val="24"/>
          <w:lang w:val="en-US"/>
        </w:rPr>
        <w:t>new connections</w:t>
      </w:r>
      <w:r w:rsidR="004D5E98" w:rsidRPr="00DC4BDB">
        <w:rPr>
          <w:rFonts w:ascii="Cambria" w:hAnsi="Cambria"/>
          <w:szCs w:val="24"/>
          <w:lang w:val="en-US"/>
        </w:rPr>
        <w:t xml:space="preserve"> within. The building gives a new social and academic focal point to campus, a learning environment reflecting the latest innovations in technology, educational philosophy and sustainability.</w:t>
      </w:r>
    </w:p>
    <w:p w:rsidR="00424CC2" w:rsidRPr="00DC4BDB" w:rsidRDefault="00424CC2" w:rsidP="00B5511B">
      <w:pPr>
        <w:pStyle w:val="DocumentName"/>
        <w:rPr>
          <w:rFonts w:ascii="Cambria" w:hAnsi="Cambria"/>
          <w:szCs w:val="24"/>
          <w:lang w:val="en-US"/>
        </w:rPr>
      </w:pPr>
    </w:p>
    <w:p w:rsidR="00424CC2" w:rsidRPr="00DC4BDB" w:rsidRDefault="00424CC2" w:rsidP="00B5511B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t xml:space="preserve">Queensland Premier </w:t>
      </w:r>
      <w:proofErr w:type="spellStart"/>
      <w:r w:rsidRPr="00DC4BDB">
        <w:rPr>
          <w:rFonts w:ascii="Cambria" w:hAnsi="Cambria"/>
          <w:szCs w:val="24"/>
          <w:lang w:val="en-US"/>
        </w:rPr>
        <w:t>Annastacia</w:t>
      </w:r>
      <w:proofErr w:type="spellEnd"/>
      <w:r w:rsidRPr="00DC4BDB">
        <w:rPr>
          <w:rFonts w:ascii="Cambria" w:hAnsi="Cambria"/>
          <w:szCs w:val="24"/>
          <w:lang w:val="en-US"/>
        </w:rPr>
        <w:t xml:space="preserve"> Palaszczuk officially opened the </w:t>
      </w:r>
      <w:r w:rsidR="00960C5D" w:rsidRPr="00DC4BDB">
        <w:rPr>
          <w:rFonts w:ascii="Cambria" w:hAnsi="Cambria"/>
          <w:szCs w:val="24"/>
          <w:lang w:val="en-US"/>
        </w:rPr>
        <w:t xml:space="preserve">Precinct </w:t>
      </w:r>
      <w:r w:rsidRPr="00DC4BDB">
        <w:rPr>
          <w:rFonts w:ascii="Cambria" w:hAnsi="Cambria"/>
          <w:szCs w:val="24"/>
          <w:lang w:val="en-US"/>
        </w:rPr>
        <w:t xml:space="preserve">on May </w:t>
      </w:r>
      <w:r w:rsidR="00DC4BDB" w:rsidRPr="00DC4BDB">
        <w:rPr>
          <w:rFonts w:ascii="Cambria" w:hAnsi="Cambria"/>
          <w:szCs w:val="24"/>
          <w:lang w:val="en-US"/>
        </w:rPr>
        <w:t>17</w:t>
      </w:r>
      <w:r w:rsidRPr="00DC4BDB">
        <w:rPr>
          <w:rFonts w:ascii="Cambria" w:hAnsi="Cambria"/>
          <w:szCs w:val="24"/>
          <w:lang w:val="en-US"/>
        </w:rPr>
        <w:t>, giving the QUT Kelvin Grove Campus a new focal point for campus life and learning.</w:t>
      </w:r>
    </w:p>
    <w:p w:rsidR="000560D2" w:rsidRPr="00DC4BDB" w:rsidRDefault="000560D2" w:rsidP="00B5511B">
      <w:pPr>
        <w:pStyle w:val="DocumentName"/>
        <w:rPr>
          <w:rFonts w:ascii="Cambria" w:hAnsi="Cambria"/>
          <w:szCs w:val="24"/>
          <w:lang w:val="en-US"/>
        </w:rPr>
      </w:pPr>
    </w:p>
    <w:p w:rsidR="000560D2" w:rsidRPr="00DC4BDB" w:rsidRDefault="000560D2" w:rsidP="00B5511B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t>For Jakob Kurek, Partner at Henning Larsen</w:t>
      </w:r>
      <w:r w:rsidR="00FB5E3B" w:rsidRPr="00DC4BDB">
        <w:rPr>
          <w:rFonts w:ascii="Cambria" w:hAnsi="Cambria"/>
          <w:szCs w:val="24"/>
          <w:lang w:val="en-US"/>
        </w:rPr>
        <w:t>, the project explores new models of learning,</w:t>
      </w:r>
      <w:r w:rsidRPr="00DC4BDB">
        <w:rPr>
          <w:rFonts w:ascii="Cambria" w:hAnsi="Cambria"/>
          <w:szCs w:val="24"/>
          <w:lang w:val="en-US"/>
        </w:rPr>
        <w:t xml:space="preserve"> as the team sought to create an academic space that supported life beyond the classroom. </w:t>
      </w:r>
    </w:p>
    <w:p w:rsidR="000560D2" w:rsidRPr="00DC4BDB" w:rsidRDefault="000560D2" w:rsidP="00B5511B">
      <w:pPr>
        <w:pStyle w:val="DocumentName"/>
        <w:rPr>
          <w:rFonts w:ascii="Cambria" w:hAnsi="Cambria"/>
          <w:szCs w:val="24"/>
          <w:lang w:val="en-US"/>
        </w:rPr>
      </w:pPr>
    </w:p>
    <w:p w:rsidR="000560D2" w:rsidRPr="00DC4BDB" w:rsidRDefault="000560D2" w:rsidP="000560D2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t>“We wanted to create a</w:t>
      </w:r>
      <w:r w:rsidR="00FB5E3B" w:rsidRPr="00DC4BDB">
        <w:rPr>
          <w:rFonts w:ascii="Cambria" w:hAnsi="Cambria"/>
          <w:szCs w:val="24"/>
          <w:lang w:val="en-US"/>
        </w:rPr>
        <w:t>n</w:t>
      </w:r>
      <w:r w:rsidRPr="00DC4BDB">
        <w:rPr>
          <w:rFonts w:ascii="Cambria" w:hAnsi="Cambria"/>
          <w:szCs w:val="24"/>
          <w:lang w:val="en-US"/>
        </w:rPr>
        <w:t xml:space="preserve"> environment that supports many different ways to learn. Flexibility was key here, and we planned for a variety of learning situations and new teaching methods,” Kurek said. “The large, terraced atrium between the library and the new building is designed as a big part of wayfinding on campus. It creates</w:t>
      </w:r>
      <w:r w:rsidR="00FB5E3B" w:rsidRPr="00DC4BDB">
        <w:rPr>
          <w:rFonts w:ascii="Cambria" w:hAnsi="Cambria"/>
          <w:szCs w:val="24"/>
          <w:lang w:val="en-US"/>
        </w:rPr>
        <w:t xml:space="preserve"> a</w:t>
      </w:r>
      <w:r w:rsidRPr="00DC4BDB">
        <w:rPr>
          <w:rFonts w:ascii="Cambria" w:hAnsi="Cambria"/>
          <w:szCs w:val="24"/>
          <w:lang w:val="en-US"/>
        </w:rPr>
        <w:t xml:space="preserve"> </w:t>
      </w:r>
      <w:r w:rsidR="00FB5E3B" w:rsidRPr="00DC4BDB">
        <w:rPr>
          <w:rFonts w:ascii="Cambria" w:hAnsi="Cambria"/>
          <w:szCs w:val="24"/>
          <w:lang w:val="en-US"/>
        </w:rPr>
        <w:t xml:space="preserve">very </w:t>
      </w:r>
      <w:r w:rsidRPr="00DC4BDB">
        <w:rPr>
          <w:rFonts w:ascii="Cambria" w:hAnsi="Cambria"/>
          <w:szCs w:val="24"/>
          <w:lang w:val="en-US"/>
        </w:rPr>
        <w:t>visible connection into the library and th</w:t>
      </w:r>
      <w:r w:rsidR="00FB5E3B" w:rsidRPr="00DC4BDB">
        <w:rPr>
          <w:rFonts w:ascii="Cambria" w:hAnsi="Cambria"/>
          <w:szCs w:val="24"/>
          <w:lang w:val="en-US"/>
        </w:rPr>
        <w:t>e surrounding planted landscape;</w:t>
      </w:r>
      <w:r w:rsidRPr="00DC4BDB">
        <w:rPr>
          <w:rFonts w:ascii="Cambria" w:hAnsi="Cambria"/>
          <w:szCs w:val="24"/>
          <w:lang w:val="en-US"/>
        </w:rPr>
        <w:t xml:space="preserve"> collecting teachers, researchers, and students </w:t>
      </w:r>
      <w:r w:rsidR="00FB5E3B" w:rsidRPr="00DC4BDB">
        <w:rPr>
          <w:rFonts w:ascii="Cambria" w:hAnsi="Cambria"/>
          <w:szCs w:val="24"/>
          <w:lang w:val="en-US"/>
        </w:rPr>
        <w:t>on the same level in this social core</w:t>
      </w:r>
      <w:r w:rsidRPr="00DC4BDB">
        <w:rPr>
          <w:rFonts w:ascii="Cambria" w:hAnsi="Cambria"/>
          <w:szCs w:val="24"/>
          <w:lang w:val="en-US"/>
        </w:rPr>
        <w:t>.”</w:t>
      </w:r>
    </w:p>
    <w:p w:rsidR="004D5E98" w:rsidRPr="00DC4BDB" w:rsidRDefault="004D5E98" w:rsidP="00B5511B">
      <w:pPr>
        <w:pStyle w:val="DocumentName"/>
        <w:rPr>
          <w:rFonts w:ascii="Cambria" w:hAnsi="Cambria"/>
          <w:szCs w:val="24"/>
          <w:lang w:val="en-US"/>
        </w:rPr>
      </w:pPr>
    </w:p>
    <w:p w:rsidR="004D5E98" w:rsidRPr="00DC4BDB" w:rsidRDefault="000560D2" w:rsidP="00B5511B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t xml:space="preserve">A terraced, landscaped atrium connecting the university library and main road establishes the Faculty of Education as a social </w:t>
      </w:r>
      <w:r w:rsidR="00736160" w:rsidRPr="00DC4BDB">
        <w:rPr>
          <w:rFonts w:ascii="Cambria" w:hAnsi="Cambria"/>
          <w:szCs w:val="24"/>
          <w:lang w:val="en-US"/>
        </w:rPr>
        <w:t>conduit on campus</w:t>
      </w:r>
      <w:r w:rsidRPr="00DC4BDB">
        <w:rPr>
          <w:rFonts w:ascii="Cambria" w:hAnsi="Cambria"/>
          <w:szCs w:val="24"/>
          <w:lang w:val="en-US"/>
        </w:rPr>
        <w:t xml:space="preserve">, </w:t>
      </w:r>
      <w:r w:rsidR="00FB5E3B" w:rsidRPr="00DC4BDB">
        <w:rPr>
          <w:rFonts w:ascii="Cambria" w:hAnsi="Cambria"/>
          <w:szCs w:val="24"/>
          <w:lang w:val="en-US"/>
        </w:rPr>
        <w:t>at once</w:t>
      </w:r>
      <w:r w:rsidRPr="00DC4BDB">
        <w:rPr>
          <w:rFonts w:ascii="Cambria" w:hAnsi="Cambria"/>
          <w:szCs w:val="24"/>
          <w:lang w:val="en-US"/>
        </w:rPr>
        <w:t xml:space="preserve"> a thoroughfare and destination. </w:t>
      </w:r>
      <w:r w:rsidR="00FB5E3B" w:rsidRPr="00DC4BDB">
        <w:rPr>
          <w:rFonts w:ascii="Cambria" w:hAnsi="Cambria"/>
          <w:szCs w:val="24"/>
          <w:lang w:val="en-US"/>
        </w:rPr>
        <w:t xml:space="preserve">Planted </w:t>
      </w:r>
      <w:r w:rsidRPr="00DC4BDB">
        <w:rPr>
          <w:rFonts w:ascii="Cambria" w:hAnsi="Cambria"/>
          <w:szCs w:val="24"/>
          <w:lang w:val="en-US"/>
        </w:rPr>
        <w:t>green social spaces both indoors and out invite visitors to use the building as a more informal meeting point, creating an active crossroads of campus life.</w:t>
      </w:r>
    </w:p>
    <w:p w:rsidR="00A5467E" w:rsidRPr="00DC4BDB" w:rsidRDefault="00A5467E" w:rsidP="00B5511B">
      <w:pPr>
        <w:pStyle w:val="DocumentName"/>
        <w:rPr>
          <w:rFonts w:ascii="Cambria" w:hAnsi="Cambria"/>
          <w:szCs w:val="24"/>
          <w:u w:val="single"/>
          <w:lang w:val="en-US"/>
        </w:rPr>
      </w:pPr>
    </w:p>
    <w:p w:rsidR="00A5467E" w:rsidRPr="00DC4BDB" w:rsidRDefault="00A5467E" w:rsidP="00B5511B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t>Visible through the glass façade is the luminous form of a LED sphere five meters in diameter, suspended over the atrium floor. The installation, along with wall-mounted displays controllable by students, give the Faculty of Education building a colorful local identity and embody the University’s commitment to creativity in technology.</w:t>
      </w:r>
    </w:p>
    <w:p w:rsidR="008E7826" w:rsidRPr="00DC4BDB" w:rsidRDefault="008E7826" w:rsidP="00B5511B">
      <w:pPr>
        <w:pStyle w:val="DocumentName"/>
        <w:rPr>
          <w:rFonts w:ascii="Cambria" w:hAnsi="Cambria"/>
          <w:szCs w:val="24"/>
          <w:lang w:val="en-US"/>
        </w:rPr>
      </w:pPr>
    </w:p>
    <w:p w:rsidR="008E7826" w:rsidRPr="00DC4BDB" w:rsidRDefault="008E7826" w:rsidP="008E7826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t>John Thong, Director of Brisbane-based Wilson Architects, said the building achieves QUT’s objectives for a memorable, sustainable and connected facility that offers new teaching and learning opportunities in an active, collaborative environment.</w:t>
      </w:r>
    </w:p>
    <w:p w:rsidR="008E7826" w:rsidRPr="00DC4BDB" w:rsidRDefault="008E7826" w:rsidP="008E7826">
      <w:pPr>
        <w:pStyle w:val="DocumentName"/>
        <w:rPr>
          <w:rFonts w:ascii="Cambria" w:hAnsi="Cambria"/>
          <w:szCs w:val="24"/>
          <w:lang w:val="en-US"/>
        </w:rPr>
      </w:pPr>
    </w:p>
    <w:p w:rsidR="008E7826" w:rsidRPr="00DC4BDB" w:rsidRDefault="008E7826" w:rsidP="008E7826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t>“The building is purpose-designed for the new generations of students and staff who have ever-changing attitudes and expectations about learning and their engagement with technology,” Thong said. “Individually and collectively, the learning and teaching spaces support future educational models that are blended, technology-enabled and have a greater focus on the varying needs of individual learners.”</w:t>
      </w:r>
    </w:p>
    <w:p w:rsidR="004D5E98" w:rsidRPr="00DC4BDB" w:rsidRDefault="004D5E98" w:rsidP="00B5511B">
      <w:pPr>
        <w:pStyle w:val="DocumentName"/>
        <w:rPr>
          <w:rFonts w:ascii="Cambria" w:hAnsi="Cambria"/>
          <w:szCs w:val="24"/>
          <w:lang w:val="en-US"/>
        </w:rPr>
      </w:pPr>
    </w:p>
    <w:p w:rsidR="004D5E98" w:rsidRPr="00DC4BDB" w:rsidRDefault="000560D2" w:rsidP="00FB5E3B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t xml:space="preserve">As smart technology defines the building’s social and academic spaces, so too has it shaped the building’s fundamental design. </w:t>
      </w:r>
      <w:proofErr w:type="gramStart"/>
      <w:r w:rsidR="00A3708C" w:rsidRPr="00DC4BDB">
        <w:rPr>
          <w:rFonts w:ascii="Cambria" w:hAnsi="Cambria"/>
          <w:szCs w:val="24"/>
          <w:lang w:val="en-US"/>
        </w:rPr>
        <w:t>Its</w:t>
      </w:r>
      <w:proofErr w:type="gramEnd"/>
      <w:r w:rsidRPr="00DC4BDB">
        <w:rPr>
          <w:rFonts w:ascii="Cambria" w:hAnsi="Cambria"/>
          <w:szCs w:val="24"/>
          <w:lang w:val="en-US"/>
        </w:rPr>
        <w:t xml:space="preserve"> self-shading, overlapping volumes and angled exterior louvers serve t</w:t>
      </w:r>
      <w:r w:rsidR="003329D6" w:rsidRPr="00DC4BDB">
        <w:rPr>
          <w:rFonts w:ascii="Cambria" w:hAnsi="Cambria"/>
          <w:szCs w:val="24"/>
          <w:lang w:val="en-US"/>
        </w:rPr>
        <w:t xml:space="preserve">o reduce solar heating within, reducing overall reliance on energy-intensive climate control systems. </w:t>
      </w:r>
      <w:r w:rsidR="00FB5E3B" w:rsidRPr="00DC4BDB">
        <w:rPr>
          <w:rFonts w:ascii="Cambria" w:hAnsi="Cambria"/>
          <w:szCs w:val="24"/>
          <w:lang w:val="en-US"/>
        </w:rPr>
        <w:t>These sun</w:t>
      </w:r>
      <w:r w:rsidR="003329D6" w:rsidRPr="00DC4BDB">
        <w:rPr>
          <w:rFonts w:ascii="Cambria" w:hAnsi="Cambria"/>
          <w:szCs w:val="24"/>
          <w:lang w:val="en-US"/>
        </w:rPr>
        <w:t xml:space="preserve"> shading measures are anticipated to reduce its solar heating intake by up to 40 percent, supporting the project’s goal of a Green Star </w:t>
      </w:r>
      <w:r w:rsidR="00FB5E3B" w:rsidRPr="00DC4BDB">
        <w:rPr>
          <w:rFonts w:ascii="Cambria" w:hAnsi="Cambria"/>
          <w:szCs w:val="24"/>
          <w:lang w:val="en-US"/>
        </w:rPr>
        <w:t>Level 5 sustainability rating from the Green Building Council of Australia.</w:t>
      </w:r>
    </w:p>
    <w:p w:rsidR="008E7826" w:rsidRPr="00DC4BDB" w:rsidRDefault="008E7826" w:rsidP="00FB5E3B">
      <w:pPr>
        <w:pStyle w:val="DocumentName"/>
        <w:rPr>
          <w:rFonts w:ascii="Cambria" w:hAnsi="Cambria"/>
          <w:szCs w:val="24"/>
          <w:lang w:val="en-US"/>
        </w:rPr>
      </w:pPr>
    </w:p>
    <w:p w:rsidR="008E7826" w:rsidRPr="00DC4BDB" w:rsidRDefault="008E7826" w:rsidP="008E7826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t xml:space="preserve">QUT Vice-Chancellor and President Professor Margaret Sheil said </w:t>
      </w:r>
      <w:r w:rsidR="00960C5D" w:rsidRPr="00DC4BDB">
        <w:rPr>
          <w:rFonts w:ascii="Cambria" w:hAnsi="Cambria"/>
          <w:szCs w:val="24"/>
          <w:lang w:val="en-US"/>
        </w:rPr>
        <w:t xml:space="preserve">it was exciting for </w:t>
      </w:r>
      <w:r w:rsidRPr="00DC4BDB">
        <w:rPr>
          <w:rFonts w:ascii="Cambria" w:hAnsi="Cambria"/>
          <w:szCs w:val="24"/>
          <w:lang w:val="en-US"/>
        </w:rPr>
        <w:t xml:space="preserve">the university to begin the </w:t>
      </w:r>
      <w:r w:rsidR="00960C5D" w:rsidRPr="00DC4BDB">
        <w:rPr>
          <w:rFonts w:ascii="Cambria" w:hAnsi="Cambria"/>
          <w:szCs w:val="24"/>
          <w:lang w:val="en-US"/>
        </w:rPr>
        <w:t>academic year</w:t>
      </w:r>
      <w:r w:rsidRPr="00DC4BDB">
        <w:rPr>
          <w:rFonts w:ascii="Cambria" w:hAnsi="Cambria"/>
          <w:szCs w:val="24"/>
          <w:lang w:val="en-US"/>
        </w:rPr>
        <w:t xml:space="preserve"> with a new facility for student life and learning. </w:t>
      </w:r>
    </w:p>
    <w:p w:rsidR="008E7826" w:rsidRPr="00DC4BDB" w:rsidRDefault="008E7826" w:rsidP="008E7826">
      <w:pPr>
        <w:pStyle w:val="DocumentName"/>
        <w:rPr>
          <w:rFonts w:ascii="Cambria" w:hAnsi="Cambria"/>
          <w:szCs w:val="24"/>
          <w:lang w:val="en-US"/>
        </w:rPr>
      </w:pPr>
    </w:p>
    <w:p w:rsidR="008E7826" w:rsidRPr="00DC4BDB" w:rsidRDefault="008E7826" w:rsidP="008E7826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t>“This is a significant investment by the university in enhancing the student learning experience and continuing to provide quality teaching and education,” Sheil said.</w:t>
      </w:r>
    </w:p>
    <w:p w:rsidR="007F162C" w:rsidRPr="00DC4BDB" w:rsidRDefault="007F162C" w:rsidP="00B5511B">
      <w:pPr>
        <w:pStyle w:val="DocumentName"/>
        <w:rPr>
          <w:rFonts w:ascii="Cambria" w:hAnsi="Cambria"/>
          <w:szCs w:val="24"/>
          <w:lang w:val="en-US"/>
        </w:rPr>
      </w:pPr>
    </w:p>
    <w:p w:rsidR="007F162C" w:rsidRPr="00DC4BDB" w:rsidRDefault="00A3708C" w:rsidP="00A3708C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t xml:space="preserve">The project was completed in close collaboration with Brisbane-based Wilson Architects, as well as Opus International engineers, TCL landscape architects and contractor Hansen </w:t>
      </w:r>
      <w:proofErr w:type="spellStart"/>
      <w:r w:rsidRPr="00DC4BDB">
        <w:rPr>
          <w:rFonts w:ascii="Cambria" w:hAnsi="Cambria"/>
          <w:szCs w:val="24"/>
          <w:lang w:val="en-US"/>
        </w:rPr>
        <w:t>Yuncken</w:t>
      </w:r>
      <w:proofErr w:type="spellEnd"/>
      <w:r w:rsidRPr="00DC4BDB">
        <w:rPr>
          <w:rFonts w:ascii="Cambria" w:hAnsi="Cambria"/>
          <w:szCs w:val="24"/>
          <w:lang w:val="en-US"/>
        </w:rPr>
        <w:t xml:space="preserve">. </w:t>
      </w:r>
      <w:r w:rsidR="00AA62A4" w:rsidRPr="00DC4BDB">
        <w:rPr>
          <w:rFonts w:ascii="Cambria" w:hAnsi="Cambria"/>
          <w:szCs w:val="24"/>
          <w:lang w:val="en-US"/>
        </w:rPr>
        <w:t xml:space="preserve">The project was delivered by QUT Facilities management. </w:t>
      </w:r>
      <w:r w:rsidRPr="00DC4BDB">
        <w:rPr>
          <w:rFonts w:ascii="Cambria" w:hAnsi="Cambria"/>
          <w:szCs w:val="24"/>
          <w:lang w:val="en-US"/>
        </w:rPr>
        <w:t>For the QUT Kelvin Grove campus, the Peter Coaldrake Education Precinct offers a new hub of campus life and learning that puts technology and sustainability at center stage.</w:t>
      </w:r>
    </w:p>
    <w:p w:rsidR="00424CC2" w:rsidRPr="00DC4BDB" w:rsidRDefault="00424CC2" w:rsidP="00A3708C">
      <w:pPr>
        <w:pStyle w:val="DocumentName"/>
        <w:rPr>
          <w:rFonts w:ascii="Cambria" w:hAnsi="Cambria"/>
          <w:szCs w:val="24"/>
          <w:lang w:val="en-US"/>
        </w:rPr>
      </w:pPr>
    </w:p>
    <w:p w:rsidR="00424CC2" w:rsidRPr="00DC4BDB" w:rsidRDefault="00424CC2" w:rsidP="00A3708C">
      <w:pPr>
        <w:pStyle w:val="DocumentName"/>
        <w:rPr>
          <w:rFonts w:ascii="Cambria" w:hAnsi="Cambria"/>
          <w:szCs w:val="24"/>
          <w:lang w:val="en-US"/>
        </w:rPr>
      </w:pPr>
    </w:p>
    <w:p w:rsidR="000310FC" w:rsidRPr="00DC4BDB" w:rsidRDefault="000310FC" w:rsidP="00A3708C">
      <w:pPr>
        <w:pStyle w:val="DocumentName"/>
        <w:rPr>
          <w:rFonts w:ascii="Cambria" w:hAnsi="Cambria"/>
          <w:szCs w:val="24"/>
          <w:lang w:val="en-US"/>
        </w:rPr>
      </w:pPr>
    </w:p>
    <w:p w:rsidR="000310FC" w:rsidRPr="00DC4BDB" w:rsidRDefault="000310FC" w:rsidP="00A3708C">
      <w:pPr>
        <w:pStyle w:val="DocumentName"/>
        <w:rPr>
          <w:rFonts w:ascii="Cambria" w:hAnsi="Cambria"/>
          <w:szCs w:val="24"/>
          <w:lang w:val="en-US"/>
        </w:rPr>
      </w:pPr>
    </w:p>
    <w:p w:rsidR="000310FC" w:rsidRPr="00DC4BDB" w:rsidRDefault="000310FC" w:rsidP="00A3708C">
      <w:pPr>
        <w:pStyle w:val="DocumentName"/>
        <w:rPr>
          <w:rFonts w:ascii="Cambria" w:hAnsi="Cambria"/>
          <w:szCs w:val="24"/>
          <w:lang w:val="en-US"/>
        </w:rPr>
      </w:pPr>
    </w:p>
    <w:p w:rsidR="000310FC" w:rsidRPr="00DC4BDB" w:rsidRDefault="000310FC" w:rsidP="000310FC">
      <w:pPr>
        <w:pStyle w:val="DocumentName"/>
        <w:rPr>
          <w:rFonts w:ascii="Cambria" w:hAnsi="Cambria"/>
          <w:b/>
          <w:sz w:val="28"/>
          <w:szCs w:val="28"/>
          <w:lang w:val="en-US"/>
        </w:rPr>
      </w:pPr>
      <w:r w:rsidRPr="00DC4BDB">
        <w:rPr>
          <w:rFonts w:ascii="Cambria" w:hAnsi="Cambria"/>
          <w:b/>
          <w:sz w:val="28"/>
          <w:szCs w:val="28"/>
          <w:lang w:val="en-US"/>
        </w:rPr>
        <w:t>Press contact (General inquiries)</w:t>
      </w:r>
    </w:p>
    <w:p w:rsidR="000310FC" w:rsidRPr="00DC4BDB" w:rsidRDefault="000310FC" w:rsidP="000310FC">
      <w:pPr>
        <w:pStyle w:val="DocumentName"/>
        <w:rPr>
          <w:rFonts w:ascii="Cambria" w:hAnsi="Cambria"/>
          <w:szCs w:val="24"/>
          <w:lang w:val="en-US"/>
        </w:rPr>
      </w:pPr>
    </w:p>
    <w:p w:rsidR="000310FC" w:rsidRPr="00DC4BDB" w:rsidRDefault="000310FC" w:rsidP="000310FC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t>Henning Larsen Press Department</w:t>
      </w:r>
    </w:p>
    <w:p w:rsidR="000310FC" w:rsidRPr="00DC4BDB" w:rsidRDefault="000310FC" w:rsidP="00A3708C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t>press@henninglarsen.com</w:t>
      </w:r>
    </w:p>
    <w:p w:rsidR="000310FC" w:rsidRPr="00DC4BDB" w:rsidRDefault="000310FC" w:rsidP="00A3708C">
      <w:pPr>
        <w:pStyle w:val="DocumentName"/>
        <w:rPr>
          <w:rFonts w:ascii="Cambria" w:hAnsi="Cambria"/>
          <w:szCs w:val="24"/>
          <w:lang w:val="en-US"/>
        </w:rPr>
      </w:pPr>
    </w:p>
    <w:p w:rsidR="00DD4967" w:rsidRPr="00DC4BDB" w:rsidRDefault="00DD4967" w:rsidP="00DD4967">
      <w:pPr>
        <w:pStyle w:val="DocumentName"/>
        <w:rPr>
          <w:rFonts w:ascii="Cambria" w:hAnsi="Cambria"/>
          <w:b/>
          <w:sz w:val="28"/>
          <w:szCs w:val="28"/>
          <w:lang w:val="en-US"/>
        </w:rPr>
      </w:pPr>
      <w:r w:rsidRPr="00DC4BDB">
        <w:rPr>
          <w:rFonts w:ascii="Cambria" w:hAnsi="Cambria"/>
          <w:b/>
          <w:sz w:val="28"/>
          <w:szCs w:val="28"/>
          <w:lang w:val="en-US"/>
        </w:rPr>
        <w:t>Press contact</w:t>
      </w:r>
      <w:r w:rsidR="000310FC" w:rsidRPr="00DC4BDB">
        <w:rPr>
          <w:rFonts w:ascii="Cambria" w:hAnsi="Cambria"/>
          <w:b/>
          <w:sz w:val="28"/>
          <w:szCs w:val="28"/>
          <w:lang w:val="en-US"/>
        </w:rPr>
        <w:t xml:space="preserve"> (Direct)</w:t>
      </w:r>
    </w:p>
    <w:p w:rsidR="000310FC" w:rsidRPr="00DC4BDB" w:rsidRDefault="000310FC" w:rsidP="00DD4967">
      <w:pPr>
        <w:pStyle w:val="DocumentName"/>
        <w:rPr>
          <w:rFonts w:ascii="Cambria" w:hAnsi="Cambria"/>
          <w:szCs w:val="24"/>
          <w:lang w:val="en-US"/>
        </w:rPr>
      </w:pPr>
    </w:p>
    <w:p w:rsidR="00DD4967" w:rsidRPr="00DC4BDB" w:rsidRDefault="00DD4967" w:rsidP="00DD4967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t>Global Communications Director</w:t>
      </w:r>
    </w:p>
    <w:p w:rsidR="00DD4967" w:rsidRPr="00DC4BDB" w:rsidRDefault="00DD4967" w:rsidP="00DD4967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t>Dan Bjerg Hansen</w:t>
      </w:r>
    </w:p>
    <w:p w:rsidR="00DD4967" w:rsidRPr="00DC4BDB" w:rsidRDefault="00DD4967" w:rsidP="00DD4967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lastRenderedPageBreak/>
        <w:t>dbh@henninglarsen.com</w:t>
      </w:r>
    </w:p>
    <w:p w:rsidR="000310FC" w:rsidRPr="00DC4BDB" w:rsidRDefault="00DD4967" w:rsidP="00DD4967">
      <w:pPr>
        <w:pStyle w:val="DocumentName"/>
        <w:rPr>
          <w:rFonts w:ascii="Cambria" w:hAnsi="Cambria"/>
          <w:szCs w:val="24"/>
          <w:lang w:val="en-US"/>
        </w:rPr>
      </w:pPr>
      <w:r w:rsidRPr="00DC4BDB">
        <w:rPr>
          <w:rFonts w:ascii="Cambria" w:hAnsi="Cambria"/>
          <w:szCs w:val="24"/>
          <w:lang w:val="en-US"/>
        </w:rPr>
        <w:t>+45 82333075 / +45 4127 7560</w:t>
      </w:r>
    </w:p>
    <w:sectPr w:rsidR="000310FC" w:rsidRPr="00DC4BDB" w:rsidSect="0040437E">
      <w:headerReference w:type="default" r:id="rId9"/>
      <w:footerReference w:type="default" r:id="rId10"/>
      <w:pgSz w:w="11906" w:h="16838" w:code="9"/>
      <w:pgMar w:top="2211" w:right="1276" w:bottom="1701" w:left="2977" w:header="851" w:footer="48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HL__TEMPLATES.NEWMACROS.FINDNEXTBOOKMARK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DD" w:rsidRDefault="00980BDD" w:rsidP="00F41836">
      <w:r>
        <w:separator/>
      </w:r>
    </w:p>
  </w:endnote>
  <w:endnote w:type="continuationSeparator" w:id="0">
    <w:p w:rsidR="00980BDD" w:rsidRDefault="00980BDD" w:rsidP="00F4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Pro Black">
    <w:altName w:val="Arial Black"/>
    <w:panose1 w:val="020B0A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Circular Pro Medium">
    <w:altName w:val="Circular Pro Medium"/>
    <w:panose1 w:val="020B06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52" w:rsidRPr="00254DFD" w:rsidRDefault="00036452" w:rsidP="00F41836">
    <w:pPr>
      <w:pStyle w:val="Footer"/>
      <w:rPr>
        <w:lang w:val="sv-SE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rightMargin">
                <wp:align>right</wp:align>
              </wp:positionH>
              <wp:positionV relativeFrom="page">
                <wp:posOffset>9999980</wp:posOffset>
              </wp:positionV>
              <wp:extent cx="1980000" cy="20880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20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6452" w:rsidRDefault="00036452" w:rsidP="00F41836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81996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81996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4.7pt;margin-top:787.4pt;width:155.9pt;height:16.45pt;z-index:2516715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" filled="f" stroked="f" strokeweight=".5pt">
              <v:textbox inset="0,0,15mm,0">
                <w:txbxContent>
                  <w:p w:rsidR="00036452" w:rsidRDefault="00036452" w:rsidP="00F41836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81996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SECTIONPAGES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81996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DD" w:rsidRDefault="00980BDD" w:rsidP="00F41836">
      <w:r>
        <w:separator/>
      </w:r>
    </w:p>
  </w:footnote>
  <w:footnote w:type="continuationSeparator" w:id="0">
    <w:p w:rsidR="00980BDD" w:rsidRDefault="00980BDD" w:rsidP="00F4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52" w:rsidRDefault="00036452" w:rsidP="0040437E">
    <w:pPr>
      <w:pStyle w:val="Template-Web"/>
      <w:ind w:left="-1701"/>
    </w:pPr>
    <w:r>
      <w:t>henninglarsen.com</w:t>
    </w:r>
    <w:r>
      <w:rPr>
        <w:lang w:val="en-GB" w:eastAsia="en-GB"/>
      </w:rPr>
      <w:t xml:space="preserve"> </w:t>
    </w:r>
    <w:r>
      <w:rPr>
        <w:lang w:eastAsia="da-DK"/>
      </w:rPr>
      <w:drawing>
        <wp:anchor distT="0" distB="0" distL="114300" distR="114300" simplePos="0" relativeHeight="251665408" behindDoc="0" locked="0" layoutInCell="1" allowOverlap="1" wp14:anchorId="5A8D19AA" wp14:editId="721E7DF3">
          <wp:simplePos x="0" y="0"/>
          <wp:positionH relativeFrom="margin">
            <wp:align>right</wp:align>
          </wp:positionH>
          <wp:positionV relativeFrom="page">
            <wp:posOffset>561975</wp:posOffset>
          </wp:positionV>
          <wp:extent cx="1260000" cy="403200"/>
          <wp:effectExtent l="0" t="0" r="0" b="0"/>
          <wp:wrapNone/>
          <wp:docPr id="20" name="HL - Logo" descr="C:\Users\lpz\AppData\Local\Microsoft\Windows\INetCacheContent.Word\HL Logo Black 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Content.Word\HL Logo Black 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BC6FD2"/>
    <w:multiLevelType w:val="multilevel"/>
    <w:tmpl w:val="F248750A"/>
    <w:lvl w:ilvl="0">
      <w:start w:val="1"/>
      <w:numFmt w:val="decimal"/>
      <w:pStyle w:val="Headinglevel1"/>
      <w:lvlText w:val="%1."/>
      <w:lvlJc w:val="left"/>
      <w:pPr>
        <w:tabs>
          <w:tab w:val="num" w:pos="1701"/>
        </w:tabs>
        <w:ind w:left="1701" w:hanging="3402"/>
      </w:pPr>
      <w:rPr>
        <w:rFonts w:hint="default"/>
      </w:rPr>
    </w:lvl>
    <w:lvl w:ilvl="1">
      <w:start w:val="1"/>
      <w:numFmt w:val="decimal"/>
      <w:pStyle w:val="Heading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7F227A"/>
    <w:multiLevelType w:val="hybridMultilevel"/>
    <w:tmpl w:val="D46E2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1127"/>
    <w:multiLevelType w:val="hybridMultilevel"/>
    <w:tmpl w:val="38823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77995"/>
    <w:multiLevelType w:val="hybridMultilevel"/>
    <w:tmpl w:val="52D670D6"/>
    <w:lvl w:ilvl="0" w:tplc="9490FB8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04DCD"/>
    <w:multiLevelType w:val="hybridMultilevel"/>
    <w:tmpl w:val="6B703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54EA"/>
    <w:multiLevelType w:val="hybridMultilevel"/>
    <w:tmpl w:val="E9CE1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1B"/>
    <w:rsid w:val="00004865"/>
    <w:rsid w:val="0001004D"/>
    <w:rsid w:val="00011DBB"/>
    <w:rsid w:val="00015AAF"/>
    <w:rsid w:val="00026F54"/>
    <w:rsid w:val="000276EC"/>
    <w:rsid w:val="000310FC"/>
    <w:rsid w:val="00032C64"/>
    <w:rsid w:val="00036452"/>
    <w:rsid w:val="000425FE"/>
    <w:rsid w:val="000560D2"/>
    <w:rsid w:val="00056BC3"/>
    <w:rsid w:val="000633DA"/>
    <w:rsid w:val="0009128C"/>
    <w:rsid w:val="00092EB3"/>
    <w:rsid w:val="00094ABD"/>
    <w:rsid w:val="000D212A"/>
    <w:rsid w:val="00110598"/>
    <w:rsid w:val="001300EE"/>
    <w:rsid w:val="00132299"/>
    <w:rsid w:val="0013244F"/>
    <w:rsid w:val="00144B47"/>
    <w:rsid w:val="00162487"/>
    <w:rsid w:val="00182651"/>
    <w:rsid w:val="001973E2"/>
    <w:rsid w:val="001D0D49"/>
    <w:rsid w:val="002006FD"/>
    <w:rsid w:val="00231423"/>
    <w:rsid w:val="00234596"/>
    <w:rsid w:val="00241FC0"/>
    <w:rsid w:val="00244D70"/>
    <w:rsid w:val="00252823"/>
    <w:rsid w:val="00254DFD"/>
    <w:rsid w:val="00263C8B"/>
    <w:rsid w:val="002B7D7D"/>
    <w:rsid w:val="002D5562"/>
    <w:rsid w:val="002E27B6"/>
    <w:rsid w:val="002E74A4"/>
    <w:rsid w:val="00305531"/>
    <w:rsid w:val="0030778E"/>
    <w:rsid w:val="003140AB"/>
    <w:rsid w:val="003329D6"/>
    <w:rsid w:val="003965A3"/>
    <w:rsid w:val="003979D5"/>
    <w:rsid w:val="003A5D3F"/>
    <w:rsid w:val="003B35B0"/>
    <w:rsid w:val="003B3F84"/>
    <w:rsid w:val="003C4F9F"/>
    <w:rsid w:val="003C60F1"/>
    <w:rsid w:val="003E629F"/>
    <w:rsid w:val="0040437E"/>
    <w:rsid w:val="00424709"/>
    <w:rsid w:val="00424AD9"/>
    <w:rsid w:val="00424CC2"/>
    <w:rsid w:val="004334D9"/>
    <w:rsid w:val="004432D2"/>
    <w:rsid w:val="004538BF"/>
    <w:rsid w:val="00461FFE"/>
    <w:rsid w:val="00486821"/>
    <w:rsid w:val="004C01B2"/>
    <w:rsid w:val="004D5E98"/>
    <w:rsid w:val="005178A7"/>
    <w:rsid w:val="00525280"/>
    <w:rsid w:val="00531046"/>
    <w:rsid w:val="00533AB9"/>
    <w:rsid w:val="0054040B"/>
    <w:rsid w:val="00543EF2"/>
    <w:rsid w:val="00567042"/>
    <w:rsid w:val="00582AE7"/>
    <w:rsid w:val="005868C2"/>
    <w:rsid w:val="005920B4"/>
    <w:rsid w:val="00595407"/>
    <w:rsid w:val="005A28D4"/>
    <w:rsid w:val="005A7F5E"/>
    <w:rsid w:val="005C278D"/>
    <w:rsid w:val="005C5F97"/>
    <w:rsid w:val="005F1580"/>
    <w:rsid w:val="005F3ED8"/>
    <w:rsid w:val="005F6776"/>
    <w:rsid w:val="005F6B57"/>
    <w:rsid w:val="00653DC7"/>
    <w:rsid w:val="00655B49"/>
    <w:rsid w:val="0067416D"/>
    <w:rsid w:val="00681D83"/>
    <w:rsid w:val="006900C2"/>
    <w:rsid w:val="0069398A"/>
    <w:rsid w:val="006A0871"/>
    <w:rsid w:val="006A17FF"/>
    <w:rsid w:val="006B30A9"/>
    <w:rsid w:val="006D4959"/>
    <w:rsid w:val="006F6626"/>
    <w:rsid w:val="007008EE"/>
    <w:rsid w:val="00700AA4"/>
    <w:rsid w:val="0070267E"/>
    <w:rsid w:val="00706E32"/>
    <w:rsid w:val="00714473"/>
    <w:rsid w:val="00736160"/>
    <w:rsid w:val="007546AF"/>
    <w:rsid w:val="00765934"/>
    <w:rsid w:val="00773401"/>
    <w:rsid w:val="007E0D0E"/>
    <w:rsid w:val="007E373C"/>
    <w:rsid w:val="007E584A"/>
    <w:rsid w:val="007F162C"/>
    <w:rsid w:val="00800336"/>
    <w:rsid w:val="00836161"/>
    <w:rsid w:val="00856231"/>
    <w:rsid w:val="008807C8"/>
    <w:rsid w:val="00892D08"/>
    <w:rsid w:val="00893791"/>
    <w:rsid w:val="008974E1"/>
    <w:rsid w:val="008A3481"/>
    <w:rsid w:val="008B4549"/>
    <w:rsid w:val="008C7169"/>
    <w:rsid w:val="008E5A6D"/>
    <w:rsid w:val="008E7826"/>
    <w:rsid w:val="008F32DF"/>
    <w:rsid w:val="008F4D20"/>
    <w:rsid w:val="00924745"/>
    <w:rsid w:val="0093214F"/>
    <w:rsid w:val="00940B88"/>
    <w:rsid w:val="0094669F"/>
    <w:rsid w:val="0094757D"/>
    <w:rsid w:val="00951B25"/>
    <w:rsid w:val="00960C5D"/>
    <w:rsid w:val="009737E4"/>
    <w:rsid w:val="00980BDD"/>
    <w:rsid w:val="00983B74"/>
    <w:rsid w:val="0098487D"/>
    <w:rsid w:val="00990263"/>
    <w:rsid w:val="00991E9C"/>
    <w:rsid w:val="009A4CCC"/>
    <w:rsid w:val="009B005F"/>
    <w:rsid w:val="009D1E80"/>
    <w:rsid w:val="009E4B94"/>
    <w:rsid w:val="00A3708C"/>
    <w:rsid w:val="00A5467E"/>
    <w:rsid w:val="00A67DF2"/>
    <w:rsid w:val="00A72B2E"/>
    <w:rsid w:val="00A878D7"/>
    <w:rsid w:val="00A91DA5"/>
    <w:rsid w:val="00A93FF0"/>
    <w:rsid w:val="00AA62A4"/>
    <w:rsid w:val="00AB4582"/>
    <w:rsid w:val="00AC56D3"/>
    <w:rsid w:val="00AF1D02"/>
    <w:rsid w:val="00B00D92"/>
    <w:rsid w:val="00B0422A"/>
    <w:rsid w:val="00B20F0A"/>
    <w:rsid w:val="00B228D2"/>
    <w:rsid w:val="00B24E70"/>
    <w:rsid w:val="00B447B4"/>
    <w:rsid w:val="00B5511B"/>
    <w:rsid w:val="00B74703"/>
    <w:rsid w:val="00BB4255"/>
    <w:rsid w:val="00BC02AE"/>
    <w:rsid w:val="00BD580C"/>
    <w:rsid w:val="00C201B8"/>
    <w:rsid w:val="00C357EF"/>
    <w:rsid w:val="00C81996"/>
    <w:rsid w:val="00C9281D"/>
    <w:rsid w:val="00C93D14"/>
    <w:rsid w:val="00CA0A7D"/>
    <w:rsid w:val="00CA7A81"/>
    <w:rsid w:val="00CB41D2"/>
    <w:rsid w:val="00CB59E8"/>
    <w:rsid w:val="00CC6322"/>
    <w:rsid w:val="00CF6CF8"/>
    <w:rsid w:val="00D00FAC"/>
    <w:rsid w:val="00D27D0E"/>
    <w:rsid w:val="00D3752F"/>
    <w:rsid w:val="00D53670"/>
    <w:rsid w:val="00D96141"/>
    <w:rsid w:val="00DA06EC"/>
    <w:rsid w:val="00DA7B3E"/>
    <w:rsid w:val="00DB31AF"/>
    <w:rsid w:val="00DC1D7C"/>
    <w:rsid w:val="00DC4BDB"/>
    <w:rsid w:val="00DC61BD"/>
    <w:rsid w:val="00DD1936"/>
    <w:rsid w:val="00DD4967"/>
    <w:rsid w:val="00DD5D71"/>
    <w:rsid w:val="00DE2B28"/>
    <w:rsid w:val="00DE2E71"/>
    <w:rsid w:val="00DE4648"/>
    <w:rsid w:val="00DF008A"/>
    <w:rsid w:val="00DF73F1"/>
    <w:rsid w:val="00E34829"/>
    <w:rsid w:val="00E351C5"/>
    <w:rsid w:val="00E53EE9"/>
    <w:rsid w:val="00EB78D3"/>
    <w:rsid w:val="00ED6EC5"/>
    <w:rsid w:val="00F04788"/>
    <w:rsid w:val="00F16883"/>
    <w:rsid w:val="00F233E7"/>
    <w:rsid w:val="00F242EC"/>
    <w:rsid w:val="00F24404"/>
    <w:rsid w:val="00F41836"/>
    <w:rsid w:val="00F448F8"/>
    <w:rsid w:val="00F710A5"/>
    <w:rsid w:val="00F73354"/>
    <w:rsid w:val="00F74C90"/>
    <w:rsid w:val="00F809DF"/>
    <w:rsid w:val="00F901F8"/>
    <w:rsid w:val="00FA389C"/>
    <w:rsid w:val="00FB5E3B"/>
    <w:rsid w:val="00FE1819"/>
    <w:rsid w:val="00FE22F7"/>
    <w:rsid w:val="00FE2C9C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B80A953B-8A5D-4E1C-BF88-A084F791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locked="0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locked="0" w:semiHidden="1" w:unhideWhenUsed="1" w:qFormat="1"/>
    <w:lsdException w:name="List Number" w:lock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7E"/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unhideWhenUsed/>
    <w:locked/>
    <w:rsid w:val="0067416D"/>
    <w:pPr>
      <w:keepNext/>
      <w:keepLines/>
      <w:spacing w:before="26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locked/>
    <w:rsid w:val="00DC1D7C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locked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2"/>
    <w:semiHidden/>
    <w:locked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2"/>
    <w:semiHidden/>
    <w:locked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locked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2"/>
    <w:semiHidden/>
    <w:locked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2"/>
    <w:semiHidden/>
    <w:locked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locked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locked/>
    <w:rsid w:val="00486821"/>
    <w:pPr>
      <w:tabs>
        <w:tab w:val="center" w:pos="4819"/>
        <w:tab w:val="right" w:pos="9638"/>
      </w:tabs>
      <w:spacing w:line="180" w:lineRule="atLeast"/>
    </w:pPr>
    <w:rPr>
      <w:rFonts w:ascii="Circular Pro Black" w:hAnsi="Circular Pro Black"/>
      <w:sz w:val="15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144B47"/>
    <w:rPr>
      <w:rFonts w:ascii="Circular Pro Black" w:hAnsi="Circular Pro Black"/>
      <w:sz w:val="15"/>
    </w:rPr>
  </w:style>
  <w:style w:type="paragraph" w:styleId="Footer">
    <w:name w:val="footer"/>
    <w:basedOn w:val="Normal"/>
    <w:link w:val="FooterChar"/>
    <w:uiPriority w:val="21"/>
    <w:semiHidden/>
    <w:locked/>
    <w:rsid w:val="00E34829"/>
    <w:pPr>
      <w:spacing w:line="180" w:lineRule="atLeast"/>
    </w:pPr>
    <w:rPr>
      <w:rFonts w:ascii="Circular Pro Black" w:hAnsi="Circular Pro Black"/>
      <w:sz w:val="15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144B47"/>
    <w:rPr>
      <w:rFonts w:ascii="Circular Pro Black" w:hAnsi="Circular Pro Black"/>
      <w:sz w:val="15"/>
    </w:rPr>
  </w:style>
  <w:style w:type="character" w:customStyle="1" w:styleId="Heading1Char">
    <w:name w:val="Heading 1 Char"/>
    <w:basedOn w:val="DefaultParagraphFont"/>
    <w:link w:val="Heading1"/>
    <w:uiPriority w:val="99"/>
    <w:rsid w:val="0067416D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32C64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32C64"/>
    <w:rPr>
      <w:rFonts w:eastAsiaTheme="majorEastAsia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CB59E8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B59E8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B59E8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B59E8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locked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144B47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locked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144B47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locked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locked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locked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locked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144B47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locked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locked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7"/>
    <w:unhideWhenUsed/>
    <w:rsid w:val="00144B47"/>
    <w:rPr>
      <w:rFonts w:ascii="Circular Pro Black" w:hAnsi="Circular Pro Black"/>
      <w:bCs/>
      <w:sz w:val="15"/>
    </w:rPr>
  </w:style>
  <w:style w:type="paragraph" w:styleId="TOC5">
    <w:name w:val="toc 5"/>
    <w:basedOn w:val="Normal"/>
    <w:next w:val="Normal"/>
    <w:uiPriority w:val="39"/>
    <w:semiHidden/>
    <w:locked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locked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locked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locked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locked/>
    <w:rsid w:val="009E4B94"/>
    <w:pPr>
      <w:ind w:right="567"/>
    </w:pPr>
  </w:style>
  <w:style w:type="paragraph" w:styleId="BlockText">
    <w:name w:val="Block Text"/>
    <w:basedOn w:val="Normal"/>
    <w:uiPriority w:val="99"/>
    <w:semiHidden/>
    <w:locked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locked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144B47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locked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locked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144B47"/>
    <w:rPr>
      <w:sz w:val="16"/>
      <w:szCs w:val="20"/>
    </w:rPr>
  </w:style>
  <w:style w:type="paragraph" w:styleId="ListBullet">
    <w:name w:val="List Bullet"/>
    <w:basedOn w:val="Normal"/>
    <w:link w:val="ListBulletChar"/>
    <w:uiPriority w:val="5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link w:val="ListNumberChar"/>
    <w:uiPriority w:val="5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locked/>
    <w:rsid w:val="00E34829"/>
    <w:rPr>
      <w:rFonts w:ascii="Circular Pro Black" w:hAnsi="Circular Pro Black"/>
      <w:sz w:val="15"/>
    </w:rPr>
  </w:style>
  <w:style w:type="paragraph" w:customStyle="1" w:styleId="Template">
    <w:name w:val="Template"/>
    <w:uiPriority w:val="8"/>
    <w:semiHidden/>
    <w:locked/>
    <w:rsid w:val="005920B4"/>
    <w:pPr>
      <w:spacing w:line="180" w:lineRule="atLeast"/>
    </w:pPr>
    <w:rPr>
      <w:rFonts w:ascii="Circular Pro Black" w:hAnsi="Circular Pro Black"/>
      <w:noProof/>
      <w:spacing w:val="3"/>
      <w:sz w:val="15"/>
    </w:rPr>
  </w:style>
  <w:style w:type="paragraph" w:customStyle="1" w:styleId="Template-Adresse">
    <w:name w:val="Template - Adresse"/>
    <w:basedOn w:val="Template"/>
    <w:uiPriority w:val="8"/>
    <w:semiHidden/>
    <w:locked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locked/>
    <w:rsid w:val="00F73354"/>
    <w:pPr>
      <w:spacing w:line="200" w:lineRule="atLeast"/>
    </w:pPr>
    <w:rPr>
      <w:b/>
    </w:rPr>
  </w:style>
  <w:style w:type="paragraph" w:styleId="TOAHeading">
    <w:name w:val="toa heading"/>
    <w:basedOn w:val="Normal"/>
    <w:next w:val="Normal"/>
    <w:uiPriority w:val="39"/>
    <w:semiHidden/>
    <w:locked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locked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locked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4B47"/>
  </w:style>
  <w:style w:type="character" w:styleId="PlaceholderText">
    <w:name w:val="Placeholder Text"/>
    <w:basedOn w:val="DefaultParagraphFont"/>
    <w:uiPriority w:val="99"/>
    <w:semiHidden/>
    <w:locked/>
    <w:rsid w:val="00424709"/>
    <w:rPr>
      <w:color w:val="auto"/>
    </w:rPr>
  </w:style>
  <w:style w:type="paragraph" w:customStyle="1" w:styleId="Tabel">
    <w:name w:val="Tabel"/>
    <w:uiPriority w:val="4"/>
    <w:semiHidden/>
    <w:locked/>
    <w:rsid w:val="00144B47"/>
    <w:pPr>
      <w:spacing w:before="40" w:after="40" w:line="220" w:lineRule="atLeast"/>
      <w:ind w:left="113" w:right="113"/>
    </w:pPr>
    <w:rPr>
      <w:sz w:val="17"/>
    </w:rPr>
  </w:style>
  <w:style w:type="paragraph" w:customStyle="1" w:styleId="Tabel-Tekst">
    <w:name w:val="Tabel - Tekst"/>
    <w:basedOn w:val="Tabel"/>
    <w:uiPriority w:val="4"/>
    <w:semiHidden/>
    <w:locked/>
    <w:rsid w:val="00424709"/>
  </w:style>
  <w:style w:type="paragraph" w:customStyle="1" w:styleId="Tabel-TekstTotal">
    <w:name w:val="Tabel - Tekst Total"/>
    <w:basedOn w:val="Tabel-Tekst"/>
    <w:uiPriority w:val="4"/>
    <w:semiHidden/>
    <w:locked/>
    <w:rsid w:val="00424709"/>
    <w:rPr>
      <w:b/>
    </w:rPr>
  </w:style>
  <w:style w:type="paragraph" w:customStyle="1" w:styleId="Tabel-Tal">
    <w:name w:val="Tabel - Tal"/>
    <w:basedOn w:val="Tabel"/>
    <w:uiPriority w:val="4"/>
    <w:semiHidden/>
    <w:locked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locked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locked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144B47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locked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locked/>
    <w:rsid w:val="002E74A4"/>
    <w:pPr>
      <w:ind w:right="567"/>
    </w:pPr>
  </w:style>
  <w:style w:type="paragraph" w:styleId="NormalIndent">
    <w:name w:val="Normal Indent"/>
    <w:basedOn w:val="Normal"/>
    <w:uiPriority w:val="9"/>
    <w:semiHidden/>
    <w:locked/>
    <w:rsid w:val="005A28D4"/>
    <w:pPr>
      <w:ind w:left="1134"/>
    </w:pPr>
  </w:style>
  <w:style w:type="table" w:styleId="TableGrid">
    <w:name w:val="Table Grid"/>
    <w:basedOn w:val="TableNormal"/>
    <w:uiPriority w:val="59"/>
    <w:locked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locked/>
    <w:rsid w:val="00DC1D7C"/>
    <w:pPr>
      <w:spacing w:after="260"/>
      <w:contextualSpacing/>
    </w:pPr>
    <w:rPr>
      <w:b/>
    </w:rPr>
  </w:style>
  <w:style w:type="paragraph" w:customStyle="1" w:styleId="DocumentName">
    <w:name w:val="Document Name"/>
    <w:uiPriority w:val="8"/>
    <w:semiHidden/>
    <w:locked/>
    <w:rsid w:val="0040437E"/>
    <w:pPr>
      <w:spacing w:line="240" w:lineRule="atLeast"/>
      <w:ind w:left="-1701"/>
    </w:pPr>
    <w:rPr>
      <w:rFonts w:ascii="Circular Pro Black" w:hAnsi="Circular Pro Black"/>
      <w:spacing w:val="5"/>
      <w:sz w:val="24"/>
    </w:rPr>
  </w:style>
  <w:style w:type="paragraph" w:customStyle="1" w:styleId="Template-Dato">
    <w:name w:val="Template - Dato"/>
    <w:basedOn w:val="Template"/>
    <w:uiPriority w:val="8"/>
    <w:semiHidden/>
    <w:locked/>
    <w:rsid w:val="00244D70"/>
    <w:pPr>
      <w:spacing w:line="280" w:lineRule="atLeast"/>
    </w:pPr>
  </w:style>
  <w:style w:type="table" w:customStyle="1" w:styleId="Blank">
    <w:name w:val="Blank"/>
    <w:basedOn w:val="TableNormal"/>
    <w:uiPriority w:val="99"/>
    <w:locked/>
    <w:rsid w:val="004432D2"/>
    <w:tblPr>
      <w:tblCellMar>
        <w:left w:w="0" w:type="dxa"/>
        <w:right w:w="0" w:type="dxa"/>
      </w:tblCellMar>
    </w:tblPr>
  </w:style>
  <w:style w:type="paragraph" w:styleId="NoSpacing">
    <w:name w:val="No Spacing"/>
    <w:uiPriority w:val="9"/>
    <w:semiHidden/>
    <w:locked/>
    <w:rsid w:val="00B0422A"/>
    <w:pPr>
      <w:spacing w:line="240" w:lineRule="atLeast"/>
    </w:pPr>
  </w:style>
  <w:style w:type="paragraph" w:customStyle="1" w:styleId="Template-Web">
    <w:name w:val="Template - Web"/>
    <w:basedOn w:val="Template"/>
    <w:uiPriority w:val="8"/>
    <w:semiHidden/>
    <w:locked/>
    <w:rsid w:val="00E34829"/>
  </w:style>
  <w:style w:type="paragraph" w:customStyle="1" w:styleId="Senderinfo">
    <w:name w:val="Sender info"/>
    <w:basedOn w:val="Normal"/>
    <w:uiPriority w:val="8"/>
    <w:semiHidden/>
    <w:locked/>
    <w:rsid w:val="002B7D7D"/>
    <w:rPr>
      <w:rFonts w:ascii="Circular Pro Black" w:hAnsi="Circular Pro Black"/>
      <w:spacing w:val="5"/>
      <w:position w:val="-2"/>
      <w:sz w:val="15"/>
    </w:rPr>
  </w:style>
  <w:style w:type="paragraph" w:customStyle="1" w:styleId="RecipientAddress">
    <w:name w:val="Recipient Address"/>
    <w:basedOn w:val="Normal"/>
    <w:uiPriority w:val="3"/>
    <w:semiHidden/>
    <w:locked/>
    <w:rsid w:val="003E629F"/>
    <w:pPr>
      <w:spacing w:line="240" w:lineRule="atLeast"/>
    </w:pPr>
    <w:rPr>
      <w:rFonts w:ascii="Circular Pro Medium" w:hAnsi="Circular Pro Medium"/>
    </w:rPr>
  </w:style>
  <w:style w:type="paragraph" w:customStyle="1" w:styleId="Leadtext">
    <w:name w:val="Leadtext"/>
    <w:uiPriority w:val="6"/>
    <w:rsid w:val="00DF73F1"/>
    <w:rPr>
      <w:b/>
    </w:rPr>
  </w:style>
  <w:style w:type="paragraph" w:customStyle="1" w:styleId="Headinglevel1">
    <w:name w:val="Heading level 1"/>
    <w:next w:val="Normal"/>
    <w:uiPriority w:val="1"/>
    <w:qFormat/>
    <w:rsid w:val="00056BC3"/>
    <w:pPr>
      <w:numPr>
        <w:numId w:val="13"/>
      </w:numPr>
      <w:tabs>
        <w:tab w:val="left" w:pos="3"/>
      </w:tabs>
      <w:spacing w:before="260"/>
      <w:ind w:left="0" w:hanging="1701"/>
      <w:outlineLvl w:val="0"/>
    </w:pPr>
    <w:rPr>
      <w:b/>
      <w:sz w:val="22"/>
    </w:rPr>
  </w:style>
  <w:style w:type="paragraph" w:customStyle="1" w:styleId="Action">
    <w:name w:val="Action"/>
    <w:uiPriority w:val="1"/>
    <w:qFormat/>
    <w:rsid w:val="00F448F8"/>
    <w:pPr>
      <w:spacing w:before="260"/>
      <w:jc w:val="right"/>
    </w:pPr>
    <w:rPr>
      <w:caps/>
      <w:sz w:val="18"/>
    </w:rPr>
  </w:style>
  <w:style w:type="paragraph" w:customStyle="1" w:styleId="HeadingLevel2">
    <w:name w:val="Heading Level 2"/>
    <w:basedOn w:val="Headinglevel1"/>
    <w:next w:val="Normal"/>
    <w:uiPriority w:val="2"/>
    <w:qFormat/>
    <w:rsid w:val="001973E2"/>
    <w:pPr>
      <w:numPr>
        <w:ilvl w:val="1"/>
      </w:numPr>
      <w:ind w:left="0" w:hanging="1701"/>
      <w:outlineLvl w:val="1"/>
    </w:pPr>
    <w:rPr>
      <w:sz w:val="20"/>
      <w:szCs w:val="20"/>
    </w:rPr>
  </w:style>
  <w:style w:type="paragraph" w:customStyle="1" w:styleId="HeadingLevel3">
    <w:name w:val="Heading Level 3"/>
    <w:basedOn w:val="HeadingLevel2"/>
    <w:next w:val="Normal"/>
    <w:uiPriority w:val="3"/>
    <w:qFormat/>
    <w:rsid w:val="001973E2"/>
    <w:pPr>
      <w:numPr>
        <w:ilvl w:val="2"/>
      </w:numPr>
      <w:ind w:left="0" w:hanging="1701"/>
      <w:outlineLvl w:val="2"/>
    </w:pPr>
  </w:style>
  <w:style w:type="paragraph" w:customStyle="1" w:styleId="HeadingLevel4">
    <w:name w:val="Heading Level 4"/>
    <w:basedOn w:val="HeadingLevel3"/>
    <w:next w:val="Normal"/>
    <w:uiPriority w:val="4"/>
    <w:qFormat/>
    <w:rsid w:val="001973E2"/>
    <w:pPr>
      <w:numPr>
        <w:ilvl w:val="3"/>
      </w:numPr>
      <w:ind w:left="0" w:hanging="1701"/>
      <w:outlineLvl w:val="3"/>
    </w:pPr>
  </w:style>
  <w:style w:type="paragraph" w:styleId="BalloonText">
    <w:name w:val="Balloon Text"/>
    <w:basedOn w:val="Normal"/>
    <w:link w:val="BalloonTextChar"/>
    <w:uiPriority w:val="99"/>
    <w:semiHidden/>
    <w:locked/>
    <w:rsid w:val="00F74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semiHidden/>
    <w:locked/>
    <w:rsid w:val="00F448F8"/>
    <w:pPr>
      <w:ind w:left="720"/>
      <w:contextualSpacing/>
    </w:pPr>
  </w:style>
  <w:style w:type="character" w:customStyle="1" w:styleId="ListBulletChar">
    <w:name w:val="List Bullet Char"/>
    <w:basedOn w:val="DefaultParagraphFont"/>
    <w:link w:val="ListBullet"/>
    <w:uiPriority w:val="5"/>
    <w:rsid w:val="00A72B2E"/>
    <w:rPr>
      <w:sz w:val="20"/>
    </w:rPr>
  </w:style>
  <w:style w:type="character" w:customStyle="1" w:styleId="ListNumberChar">
    <w:name w:val="List Number Char"/>
    <w:basedOn w:val="DefaultParagraphFont"/>
    <w:link w:val="ListNumber"/>
    <w:uiPriority w:val="5"/>
    <w:rsid w:val="00A72B2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Templates\Henning%20Larsen\Denmark\HL___%20Memo%20U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nning Larsen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7EF9-EFF8-47B6-85E7-6FDF74D7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HL___ Memo US</Template>
  <TotalTime>1</TotalTime>
  <Pages>2</Pages>
  <Words>690</Words>
  <Characters>4210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Henning Larsen Architects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Aaron Hathaway</dc:creator>
  <cp:keywords>HL_ v. 2017.1.0</cp:keywords>
  <cp:lastModifiedBy>Katherine Eloise Allen</cp:lastModifiedBy>
  <cp:revision>3</cp:revision>
  <cp:lastPrinted>2019-05-15T11:30:00Z</cp:lastPrinted>
  <dcterms:created xsi:type="dcterms:W3CDTF">2019-06-24T13:25:00Z</dcterms:created>
  <dcterms:modified xsi:type="dcterms:W3CDTF">2019-06-24T13:26:00Z</dcterms:modified>
</cp:coreProperties>
</file>